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4DE75" w14:textId="4A6CE732" w:rsidR="00924224" w:rsidRPr="000D6CBB" w:rsidRDefault="00B442F9" w:rsidP="00A8131A">
      <w:pPr>
        <w:keepNext/>
        <w:keepLines/>
        <w:suppressAutoHyphens w:val="0"/>
        <w:adjustRightInd/>
        <w:snapToGrid/>
        <w:spacing w:before="480" w:afterLines="120" w:after="288" w:line="276" w:lineRule="auto"/>
        <w:jc w:val="both"/>
        <w:outlineLvl w:val="0"/>
        <w:rPr>
          <w:rFonts w:ascii="Calibri" w:eastAsia="Times New Roman" w:hAnsi="Calibri" w:cs="Times New Roman"/>
          <w:b/>
          <w:bCs/>
          <w:color w:val="002060"/>
          <w:sz w:val="28"/>
          <w:szCs w:val="28"/>
        </w:rPr>
      </w:pPr>
      <w:r w:rsidRPr="000D6CBB">
        <w:rPr>
          <w:rFonts w:ascii="Calibri" w:eastAsia="Times New Roman" w:hAnsi="Calibri" w:cs="Times New Roman"/>
          <w:b/>
          <w:bCs/>
          <w:color w:val="002060"/>
          <w:sz w:val="28"/>
          <w:szCs w:val="28"/>
        </w:rPr>
        <w:t>C</w:t>
      </w:r>
      <w:r w:rsidR="00924224" w:rsidRPr="000D6CBB">
        <w:rPr>
          <w:rFonts w:ascii="Calibri" w:eastAsia="Times New Roman" w:hAnsi="Calibri" w:cs="Times New Roman"/>
          <w:b/>
          <w:bCs/>
          <w:color w:val="002060"/>
          <w:sz w:val="28"/>
          <w:szCs w:val="28"/>
        </w:rPr>
        <w:t>onstitutions</w:t>
      </w:r>
    </w:p>
    <w:p w14:paraId="64168BD3" w14:textId="77777777" w:rsidR="00A8131A" w:rsidRDefault="00924224" w:rsidP="00A8131A">
      <w:pPr>
        <w:suppressAutoHyphens w:val="0"/>
        <w:adjustRightInd/>
        <w:snapToGrid/>
        <w:spacing w:before="0" w:afterLines="120" w:after="288" w:line="240" w:lineRule="auto"/>
        <w:jc w:val="both"/>
        <w:rPr>
          <w:rFonts w:ascii="Calibri" w:eastAsia="Times New Roman" w:hAnsi="Calibri" w:cs="Calibri"/>
          <w:color w:val="000000"/>
          <w:sz w:val="20"/>
          <w:szCs w:val="20"/>
          <w:lang w:eastAsia="en-AU"/>
        </w:rPr>
      </w:pPr>
      <w:r w:rsidRPr="00924224">
        <w:rPr>
          <w:rFonts w:ascii="Calibri" w:eastAsia="Times New Roman" w:hAnsi="Calibri" w:cs="Calibri"/>
          <w:color w:val="000000"/>
          <w:sz w:val="20"/>
          <w:szCs w:val="20"/>
          <w:lang w:eastAsia="en-AU"/>
        </w:rPr>
        <w:t xml:space="preserve">The constitution is a basic set of rules for the daily running of your club. It is a legal document that establishes the organisation, sets out the purposes for which it has come together, includes the rules under which it proposes to operate and sets out members’ rights and liabilities. </w:t>
      </w:r>
    </w:p>
    <w:p w14:paraId="651BB39D" w14:textId="3E76869A" w:rsidR="00924224" w:rsidRPr="00924224" w:rsidRDefault="00924224" w:rsidP="00A8131A">
      <w:pPr>
        <w:suppressAutoHyphens w:val="0"/>
        <w:adjustRightInd/>
        <w:snapToGrid/>
        <w:spacing w:before="0" w:afterLines="120" w:after="288" w:line="240" w:lineRule="auto"/>
        <w:jc w:val="both"/>
        <w:rPr>
          <w:rFonts w:ascii="Calibri" w:eastAsia="Times New Roman" w:hAnsi="Calibri" w:cs="Calibri"/>
          <w:color w:val="000000"/>
          <w:sz w:val="20"/>
          <w:szCs w:val="20"/>
          <w:lang w:eastAsia="en-AU"/>
        </w:rPr>
      </w:pPr>
      <w:r w:rsidRPr="00A8131A">
        <w:rPr>
          <w:rFonts w:ascii="Calibri" w:eastAsia="Times New Roman" w:hAnsi="Calibri" w:cs="Calibri"/>
          <w:color w:val="000000"/>
          <w:sz w:val="20"/>
          <w:szCs w:val="20"/>
          <w:lang w:eastAsia="en-AU"/>
        </w:rPr>
        <w:t xml:space="preserve">Sport Australia’s ‘Sport Governance Principles’ provides a co-designed framework which Sport Australia and the State and Territory Agencies for Sport and Recreation believe </w:t>
      </w:r>
      <w:r w:rsidRPr="00924224">
        <w:rPr>
          <w:rFonts w:ascii="Calibri" w:eastAsia="Times New Roman" w:hAnsi="Calibri" w:cs="Calibri"/>
          <w:color w:val="000000"/>
          <w:sz w:val="20"/>
          <w:szCs w:val="20"/>
          <w:lang w:eastAsia="en-AU"/>
        </w:rPr>
        <w:t xml:space="preserve">a sporting organisation’s board/committee members should operate and enact their role. </w:t>
      </w:r>
    </w:p>
    <w:p w14:paraId="5930411F" w14:textId="77777777" w:rsidR="00F741FD" w:rsidRPr="00A8131A" w:rsidRDefault="00924224" w:rsidP="00A8131A">
      <w:pPr>
        <w:suppressAutoHyphens w:val="0"/>
        <w:adjustRightInd/>
        <w:snapToGrid/>
        <w:spacing w:before="0" w:afterLines="120" w:after="288" w:line="240" w:lineRule="auto"/>
        <w:jc w:val="both"/>
        <w:rPr>
          <w:rFonts w:ascii="Calibri" w:eastAsia="Arial" w:hAnsi="Calibri" w:cs="Calibri"/>
          <w:sz w:val="20"/>
          <w:szCs w:val="20"/>
        </w:rPr>
      </w:pPr>
      <w:r w:rsidRPr="00924224">
        <w:rPr>
          <w:rFonts w:ascii="Calibri" w:eastAsia="Times New Roman" w:hAnsi="Calibri" w:cs="Calibri"/>
          <w:color w:val="000000"/>
          <w:sz w:val="20"/>
          <w:szCs w:val="20"/>
          <w:lang w:eastAsia="en-AU"/>
        </w:rPr>
        <w:t xml:space="preserve">Principle </w:t>
      </w:r>
      <w:r w:rsidRPr="00A8131A">
        <w:rPr>
          <w:rFonts w:ascii="Calibri" w:eastAsia="Times New Roman" w:hAnsi="Calibri" w:cs="Calibri"/>
          <w:color w:val="000000"/>
          <w:sz w:val="20"/>
          <w:szCs w:val="20"/>
          <w:lang w:eastAsia="en-AU"/>
        </w:rPr>
        <w:t>5 –</w:t>
      </w:r>
      <w:r w:rsidRPr="00924224">
        <w:rPr>
          <w:rFonts w:ascii="Calibri" w:eastAsia="Times New Roman" w:hAnsi="Calibri" w:cs="Calibri"/>
          <w:color w:val="000000"/>
          <w:sz w:val="20"/>
          <w:szCs w:val="20"/>
          <w:lang w:eastAsia="en-AU"/>
        </w:rPr>
        <w:t xml:space="preserve"> </w:t>
      </w:r>
      <w:r w:rsidR="00F741FD" w:rsidRPr="00A8131A">
        <w:rPr>
          <w:rFonts w:ascii="Calibri" w:eastAsia="Times New Roman" w:hAnsi="Calibri" w:cs="Calibri"/>
          <w:color w:val="000000"/>
          <w:sz w:val="20"/>
          <w:szCs w:val="20"/>
          <w:lang w:eastAsia="en-AU"/>
        </w:rPr>
        <w:t xml:space="preserve">‘The Rulebook’ </w:t>
      </w:r>
      <w:r w:rsidR="00F93763" w:rsidRPr="00A8131A">
        <w:rPr>
          <w:rFonts w:ascii="Calibri" w:eastAsia="Times New Roman" w:hAnsi="Calibri" w:cs="Calibri"/>
          <w:color w:val="000000"/>
          <w:sz w:val="20"/>
          <w:szCs w:val="20"/>
          <w:lang w:eastAsia="en-AU"/>
        </w:rPr>
        <w:t>states that an organisation should clearly define and document its structure and the duties, responsibilities and powers of members, directors, committees and management</w:t>
      </w:r>
      <w:r w:rsidR="00F741FD" w:rsidRPr="00A8131A">
        <w:rPr>
          <w:rFonts w:ascii="Calibri" w:eastAsia="Times New Roman" w:hAnsi="Calibri" w:cs="Calibri"/>
          <w:color w:val="000000"/>
          <w:sz w:val="20"/>
          <w:szCs w:val="20"/>
          <w:lang w:eastAsia="en-AU"/>
        </w:rPr>
        <w:t xml:space="preserve">. </w:t>
      </w:r>
      <w:r w:rsidR="00F741FD" w:rsidRPr="00F741FD">
        <w:rPr>
          <w:rFonts w:ascii="Calibri" w:eastAsia="Arial" w:hAnsi="Calibri" w:cs="Calibri"/>
          <w:sz w:val="20"/>
          <w:szCs w:val="20"/>
        </w:rPr>
        <w:t>Every constitution should outline</w:t>
      </w:r>
      <w:r w:rsidR="00F741FD" w:rsidRPr="00A8131A">
        <w:rPr>
          <w:rFonts w:ascii="Calibri" w:eastAsia="Arial" w:hAnsi="Calibri" w:cs="Calibri"/>
          <w:sz w:val="20"/>
          <w:szCs w:val="20"/>
        </w:rPr>
        <w:t>:</w:t>
      </w:r>
      <w:r w:rsidR="00F741FD" w:rsidRPr="00F741FD">
        <w:rPr>
          <w:rFonts w:ascii="Calibri" w:eastAsia="Arial" w:hAnsi="Calibri" w:cs="Calibri"/>
          <w:sz w:val="20"/>
          <w:szCs w:val="20"/>
        </w:rPr>
        <w:t xml:space="preserve"> an organisation’s objects and powers, members and membership conditions, board structure, director appointments, meeting procedures, management of company documents, auditors, accounts, indemnity and insurance of directors, and the process of winding up. </w:t>
      </w:r>
    </w:p>
    <w:p w14:paraId="2CA2D98E" w14:textId="1993E120" w:rsidR="00F741FD" w:rsidRPr="00F741FD" w:rsidRDefault="00F741FD" w:rsidP="00A8131A">
      <w:pPr>
        <w:suppressAutoHyphens w:val="0"/>
        <w:adjustRightInd/>
        <w:snapToGrid/>
        <w:spacing w:before="0" w:afterLines="120" w:after="288" w:line="240" w:lineRule="auto"/>
        <w:jc w:val="both"/>
        <w:rPr>
          <w:rFonts w:ascii="Calibri" w:eastAsia="Times New Roman" w:hAnsi="Calibri" w:cs="Calibri"/>
          <w:color w:val="000000"/>
          <w:sz w:val="20"/>
          <w:szCs w:val="20"/>
          <w:lang w:eastAsia="en-AU"/>
        </w:rPr>
      </w:pPr>
      <w:r w:rsidRPr="00F741FD">
        <w:rPr>
          <w:rFonts w:ascii="Calibri" w:eastAsia="Arial" w:hAnsi="Calibri" w:cs="Calibri"/>
          <w:sz w:val="20"/>
          <w:szCs w:val="20"/>
        </w:rPr>
        <w:t>The incorporating act may also impose requirements concerning the duties of directors, powers of members, meetings and meeting procedures, and other critical information which binds the organisation and should therefore be considered. Organisations may also have a set of regulations, which are usually created under a power located in the constitution. These provide more detail or specifics on areas outside the fundamental governance matters found in a constitution.</w:t>
      </w:r>
    </w:p>
    <w:p w14:paraId="59DC1252" w14:textId="087F9357" w:rsidR="00F741FD" w:rsidRPr="00A8131A" w:rsidRDefault="00F741FD" w:rsidP="00A8131A">
      <w:pPr>
        <w:suppressAutoHyphens w:val="0"/>
        <w:adjustRightInd/>
        <w:snapToGrid/>
        <w:spacing w:before="0" w:afterLines="120" w:after="288" w:line="240" w:lineRule="auto"/>
        <w:jc w:val="both"/>
        <w:rPr>
          <w:rFonts w:ascii="Calibri" w:eastAsia="Arial" w:hAnsi="Calibri" w:cs="Calibri"/>
          <w:sz w:val="20"/>
          <w:szCs w:val="20"/>
        </w:rPr>
      </w:pPr>
      <w:r w:rsidRPr="00F741FD">
        <w:rPr>
          <w:rFonts w:ascii="Calibri" w:eastAsia="Arial" w:hAnsi="Calibri" w:cs="Calibri"/>
          <w:sz w:val="20"/>
          <w:szCs w:val="20"/>
        </w:rPr>
        <w:t xml:space="preserve">Generally, a combination of the constitution and the incorporating act will divide duties, responsibilities and powers between members and the board. However, the board may wish to delegate some of its powers to management or committees. These delegations should be explicitly outlined in writing in a delegated authority document for management and a terms of reference for each committee. </w:t>
      </w:r>
    </w:p>
    <w:p w14:paraId="6F280E27" w14:textId="635F4B63" w:rsidR="00924224" w:rsidRPr="00924224" w:rsidRDefault="00924224" w:rsidP="00A8131A">
      <w:pPr>
        <w:suppressAutoHyphens w:val="0"/>
        <w:adjustRightInd/>
        <w:snapToGrid/>
        <w:spacing w:before="0" w:afterLines="120" w:after="288" w:line="240" w:lineRule="auto"/>
        <w:jc w:val="both"/>
        <w:rPr>
          <w:rFonts w:ascii="Calibri" w:eastAsia="Times New Roman" w:hAnsi="Calibri" w:cs="Calibri"/>
          <w:color w:val="000000"/>
          <w:sz w:val="20"/>
          <w:szCs w:val="20"/>
          <w:lang w:eastAsia="en-AU"/>
        </w:rPr>
      </w:pPr>
      <w:r w:rsidRPr="00924224">
        <w:rPr>
          <w:rFonts w:ascii="Calibri" w:eastAsia="Times New Roman" w:hAnsi="Calibri" w:cs="Calibri"/>
          <w:color w:val="000000"/>
          <w:sz w:val="20"/>
          <w:szCs w:val="20"/>
          <w:lang w:eastAsia="en-AU"/>
        </w:rPr>
        <w:t xml:space="preserve">The constitution should be written in a clear, unambiguous and succinct manner. It should not be overburdened with items that would be better served to </w:t>
      </w:r>
      <w:r w:rsidRPr="00924224">
        <w:rPr>
          <w:rFonts w:ascii="Calibri" w:eastAsia="Times New Roman" w:hAnsi="Calibri" w:cs="Calibri"/>
          <w:color w:val="000000"/>
          <w:sz w:val="20"/>
          <w:szCs w:val="20"/>
          <w:lang w:eastAsia="en-AU"/>
        </w:rPr>
        <w:lastRenderedPageBreak/>
        <w:t xml:space="preserve">be detailed in the organisation’s by-laws or policies </w:t>
      </w:r>
      <w:proofErr w:type="spellStart"/>
      <w:r w:rsidRPr="00924224">
        <w:rPr>
          <w:rFonts w:ascii="Calibri" w:eastAsia="Times New Roman" w:hAnsi="Calibri" w:cs="Calibri"/>
          <w:color w:val="000000"/>
          <w:sz w:val="20"/>
          <w:szCs w:val="20"/>
          <w:lang w:eastAsia="en-AU"/>
        </w:rPr>
        <w:t>ie</w:t>
      </w:r>
      <w:proofErr w:type="spellEnd"/>
      <w:r w:rsidRPr="00924224">
        <w:rPr>
          <w:rFonts w:ascii="Calibri" w:eastAsia="Times New Roman" w:hAnsi="Calibri" w:cs="Calibri"/>
          <w:color w:val="000000"/>
          <w:sz w:val="20"/>
          <w:szCs w:val="20"/>
          <w:lang w:eastAsia="en-AU"/>
        </w:rPr>
        <w:t>. Member Protection, complaint handling, codes of behaviour, job descriptions etc. These are usually items that can be expected to be changed and updated from time to time. In these circumstances the board/committee should, through by law and policy development, be empowered to oversee and manage the issues.</w:t>
      </w:r>
    </w:p>
    <w:p w14:paraId="6EB3E47A" w14:textId="77777777" w:rsidR="00924224" w:rsidRPr="00924224" w:rsidRDefault="00924224" w:rsidP="00A8131A">
      <w:pPr>
        <w:suppressAutoHyphens w:val="0"/>
        <w:adjustRightInd/>
        <w:snapToGrid/>
        <w:spacing w:before="0" w:afterLines="120" w:after="288" w:line="240" w:lineRule="auto"/>
        <w:jc w:val="both"/>
        <w:rPr>
          <w:rFonts w:ascii="Calibri" w:eastAsia="Times New Roman" w:hAnsi="Calibri" w:cs="Calibri"/>
          <w:color w:val="000000"/>
          <w:sz w:val="20"/>
          <w:szCs w:val="20"/>
          <w:lang w:eastAsia="en-AU"/>
        </w:rPr>
      </w:pPr>
      <w:r w:rsidRPr="00924224">
        <w:rPr>
          <w:rFonts w:ascii="Calibri" w:eastAsia="Times New Roman" w:hAnsi="Calibri" w:cs="Calibri"/>
          <w:color w:val="000000"/>
          <w:sz w:val="20"/>
          <w:szCs w:val="20"/>
          <w:lang w:eastAsia="en-AU"/>
        </w:rPr>
        <w:t xml:space="preserve">Incorporated associations have a few options available to them with regard to constitutions. They can adopt </w:t>
      </w:r>
      <w:proofErr w:type="gramStart"/>
      <w:r w:rsidRPr="00924224">
        <w:rPr>
          <w:rFonts w:ascii="Calibri" w:eastAsia="Times New Roman" w:hAnsi="Calibri" w:cs="Calibri"/>
          <w:color w:val="000000"/>
          <w:sz w:val="20"/>
          <w:szCs w:val="20"/>
          <w:lang w:eastAsia="en-AU"/>
        </w:rPr>
        <w:t>the</w:t>
      </w:r>
      <w:proofErr w:type="gramEnd"/>
      <w:r w:rsidRPr="00924224">
        <w:rPr>
          <w:rFonts w:ascii="Calibri" w:eastAsia="Times New Roman" w:hAnsi="Calibri" w:cs="Calibri"/>
          <w:color w:val="000000"/>
          <w:sz w:val="20"/>
          <w:szCs w:val="20"/>
          <w:lang w:eastAsia="en-AU"/>
        </w:rPr>
        <w:t xml:space="preserve"> model rules provided by the relevant department in each state/territory, or make changes to these model rules that better suits the need of the club, or finally draft their own rules. It is recommended that if you wish to draft your own rules, you obtain some legal advice to ensure you meet the regulations required under the incorporations act.</w:t>
      </w:r>
    </w:p>
    <w:p w14:paraId="06511555" w14:textId="77777777" w:rsidR="00924224" w:rsidRPr="000D6CBB" w:rsidRDefault="00924224" w:rsidP="00A8131A">
      <w:pPr>
        <w:suppressAutoHyphens w:val="0"/>
        <w:adjustRightInd/>
        <w:snapToGrid/>
        <w:spacing w:before="0" w:line="240" w:lineRule="auto"/>
        <w:rPr>
          <w:rFonts w:ascii="Calibri" w:eastAsia="Times New Roman" w:hAnsi="Calibri" w:cs="Times New Roman"/>
          <w:b/>
          <w:color w:val="002060"/>
          <w:sz w:val="24"/>
          <w:szCs w:val="24"/>
          <w:lang w:eastAsia="en-AU"/>
        </w:rPr>
      </w:pPr>
      <w:r w:rsidRPr="000D6CBB">
        <w:rPr>
          <w:rFonts w:ascii="Calibri" w:eastAsia="Times New Roman" w:hAnsi="Calibri" w:cs="Times New Roman"/>
          <w:b/>
          <w:color w:val="002060"/>
          <w:sz w:val="24"/>
          <w:szCs w:val="24"/>
          <w:lang w:eastAsia="en-AU"/>
        </w:rPr>
        <w:t>Checklist for developing the constitution</w:t>
      </w:r>
    </w:p>
    <w:p w14:paraId="6FAC1ED7"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The Associations Incorporation Act requires an incorporated association to have its own set of rules which govern the day-to-day management of the club. These rules are referred to as the constitution and a copy must be lodged with the relevant department in each state/territory that you applied to when incorporating your club. This constitution is held as the “official” version of rules, together with any amendments which the club later lodges with the department. This constitution is available to the public.</w:t>
      </w:r>
    </w:p>
    <w:p w14:paraId="39280A74"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You may use your own rules or obtain professional legal advice. If developing your own constitution, you must ensure you take note of the specific requirements and sections that must be addressed. The constitution should also NOT be inconsistent with any other requirements of the Act.</w:t>
      </w:r>
    </w:p>
    <w:p w14:paraId="5025D0CB"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Alternatively, you may use and/or modify the set of model rules developed by the relevant department in each state/territory. Once again, if you choose to modify these rules, ensure you read through the document carefully, or obtain legal advice, to ensure you meet the specific requirements of the Act.</w:t>
      </w:r>
    </w:p>
    <w:p w14:paraId="55C7CE9E"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If you decide to use the model rules in your state/territory, ensure you read them carefully to complete them where required to suit the needs of your particular club.</w:t>
      </w:r>
    </w:p>
    <w:p w14:paraId="6D4E5930"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Once complete, the agreed version of your constitution must be submitted with your application for incorporation. Ensure you keep a copy of these rules for your clubs records.</w:t>
      </w:r>
    </w:p>
    <w:p w14:paraId="71C085D0"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lastRenderedPageBreak/>
        <w:t>It is best practice to review your constitution every 2 -3 years and if any changes are made, they must be lodged with the relevant department in your state/territory. It is also important to remember that changes to the constitution are required to be debated and voted upon at an annual general meeting or a special general meeting.</w:t>
      </w:r>
    </w:p>
    <w:p w14:paraId="7465582C" w14:textId="77777777" w:rsidR="00A8131A" w:rsidRDefault="00A8131A" w:rsidP="00A8131A">
      <w:pPr>
        <w:suppressAutoHyphens w:val="0"/>
        <w:adjustRightInd/>
        <w:snapToGrid/>
        <w:spacing w:before="0" w:line="240" w:lineRule="auto"/>
        <w:rPr>
          <w:rFonts w:ascii="Calibri" w:eastAsia="Times New Roman" w:hAnsi="Calibri" w:cs="Times New Roman"/>
          <w:color w:val="000000"/>
          <w:sz w:val="20"/>
          <w:szCs w:val="16"/>
          <w:lang w:eastAsia="en-AU"/>
        </w:rPr>
      </w:pPr>
    </w:p>
    <w:p w14:paraId="01DA74AD" w14:textId="6EF495F4" w:rsidR="00924224" w:rsidRDefault="00924224" w:rsidP="00A8131A">
      <w:p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Further information on your state/territory’s requirement for constitutions can be found using the below hyperlinks:</w:t>
      </w:r>
    </w:p>
    <w:p w14:paraId="3829A927" w14:textId="77777777" w:rsidR="00A8131A" w:rsidRPr="00924224" w:rsidRDefault="00A8131A" w:rsidP="00A8131A">
      <w:pPr>
        <w:suppressAutoHyphens w:val="0"/>
        <w:adjustRightInd/>
        <w:snapToGrid/>
        <w:spacing w:before="0" w:line="240" w:lineRule="auto"/>
        <w:rPr>
          <w:rFonts w:ascii="Calibri" w:eastAsia="Times New Roman" w:hAnsi="Calibri" w:cs="Times New Roman"/>
          <w:color w:val="000000"/>
          <w:sz w:val="20"/>
          <w:szCs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4012"/>
      </w:tblGrid>
      <w:tr w:rsidR="00924224" w:rsidRPr="00924224" w14:paraId="208B766D" w14:textId="77777777" w:rsidTr="00E55B10">
        <w:trPr>
          <w:trHeight w:val="284"/>
          <w:jc w:val="center"/>
        </w:trPr>
        <w:tc>
          <w:tcPr>
            <w:tcW w:w="2299" w:type="dxa"/>
            <w:shd w:val="clear" w:color="auto" w:fill="154384"/>
            <w:tcMar>
              <w:top w:w="142" w:type="dxa"/>
            </w:tcMar>
            <w:vAlign w:val="center"/>
          </w:tcPr>
          <w:p w14:paraId="34BACAEB"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bCs/>
                <w:caps/>
                <w:color w:val="FFFFFF"/>
                <w:sz w:val="18"/>
                <w:szCs w:val="18"/>
                <w:lang w:eastAsia="en-AU"/>
              </w:rPr>
            </w:pPr>
            <w:r w:rsidRPr="00924224">
              <w:rPr>
                <w:rFonts w:ascii="Arial" w:eastAsia="Times New Roman" w:hAnsi="Arial" w:cs="Times New Roman"/>
                <w:b/>
                <w:bCs/>
                <w:caps/>
                <w:color w:val="FFFFFF"/>
                <w:sz w:val="18"/>
                <w:szCs w:val="18"/>
                <w:lang w:eastAsia="en-AU"/>
              </w:rPr>
              <w:t>State/Territory</w:t>
            </w:r>
          </w:p>
        </w:tc>
        <w:tc>
          <w:tcPr>
            <w:tcW w:w="4012" w:type="dxa"/>
            <w:shd w:val="clear" w:color="auto" w:fill="154384"/>
            <w:tcMar>
              <w:top w:w="142" w:type="dxa"/>
            </w:tcMar>
            <w:vAlign w:val="center"/>
          </w:tcPr>
          <w:p w14:paraId="7D076A71"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bCs/>
                <w:caps/>
                <w:color w:val="FFFFFF"/>
                <w:sz w:val="18"/>
                <w:szCs w:val="18"/>
                <w:lang w:eastAsia="en-AU"/>
              </w:rPr>
            </w:pPr>
            <w:r w:rsidRPr="00924224">
              <w:rPr>
                <w:rFonts w:ascii="Arial" w:eastAsia="Times New Roman" w:hAnsi="Arial" w:cs="Times New Roman"/>
                <w:b/>
                <w:bCs/>
                <w:caps/>
                <w:color w:val="FFFFFF"/>
                <w:sz w:val="18"/>
                <w:szCs w:val="18"/>
                <w:lang w:eastAsia="en-AU"/>
              </w:rPr>
              <w:t>Department</w:t>
            </w:r>
          </w:p>
        </w:tc>
      </w:tr>
      <w:tr w:rsidR="00924224" w:rsidRPr="00924224" w14:paraId="3185D7DD" w14:textId="77777777" w:rsidTr="00E55B10">
        <w:trPr>
          <w:trHeight w:val="199"/>
          <w:jc w:val="center"/>
        </w:trPr>
        <w:tc>
          <w:tcPr>
            <w:tcW w:w="2299" w:type="dxa"/>
            <w:shd w:val="clear" w:color="auto" w:fill="F3F3F3"/>
            <w:tcMar>
              <w:top w:w="142" w:type="dxa"/>
            </w:tcMar>
          </w:tcPr>
          <w:p w14:paraId="214AF35D"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ACT</w:t>
            </w:r>
          </w:p>
        </w:tc>
        <w:tc>
          <w:tcPr>
            <w:tcW w:w="4012" w:type="dxa"/>
            <w:shd w:val="clear" w:color="auto" w:fill="F3F3F3"/>
            <w:tcMar>
              <w:top w:w="142" w:type="dxa"/>
            </w:tcMar>
          </w:tcPr>
          <w:p w14:paraId="5367005D" w14:textId="5FE051A5" w:rsidR="00924224" w:rsidRPr="00924224" w:rsidRDefault="00984D2B"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1" w:history="1">
              <w:r w:rsidR="00A8131A" w:rsidRPr="00A8131A">
                <w:rPr>
                  <w:rStyle w:val="Hyperlink"/>
                  <w:rFonts w:ascii="Calibri" w:eastAsia="Times New Roman" w:hAnsi="Calibri" w:cs="Times New Roman"/>
                  <w:sz w:val="20"/>
                  <w:szCs w:val="20"/>
                  <w:lang w:eastAsia="en-AU"/>
                </w:rPr>
                <w:t>Access Canberra</w:t>
              </w:r>
            </w:hyperlink>
          </w:p>
        </w:tc>
      </w:tr>
      <w:tr w:rsidR="00924224" w:rsidRPr="00924224" w14:paraId="74D2B253" w14:textId="77777777" w:rsidTr="00E55B10">
        <w:trPr>
          <w:trHeight w:val="263"/>
          <w:jc w:val="center"/>
        </w:trPr>
        <w:tc>
          <w:tcPr>
            <w:tcW w:w="2299" w:type="dxa"/>
            <w:shd w:val="clear" w:color="auto" w:fill="FFFFFF"/>
            <w:tcMar>
              <w:top w:w="142" w:type="dxa"/>
            </w:tcMar>
          </w:tcPr>
          <w:p w14:paraId="76B6F839"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NSW</w:t>
            </w:r>
          </w:p>
        </w:tc>
        <w:tc>
          <w:tcPr>
            <w:tcW w:w="4012" w:type="dxa"/>
            <w:shd w:val="clear" w:color="auto" w:fill="FFFFFF"/>
            <w:tcMar>
              <w:top w:w="142" w:type="dxa"/>
            </w:tcMar>
          </w:tcPr>
          <w:p w14:paraId="645D92B9" w14:textId="2A6501B8" w:rsidR="00924224" w:rsidRPr="00924224" w:rsidRDefault="00984D2B"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2" w:history="1">
              <w:r w:rsidR="00571D5E" w:rsidRPr="00571D5E">
                <w:rPr>
                  <w:rStyle w:val="Hyperlink"/>
                  <w:rFonts w:ascii="Calibri" w:eastAsia="Times New Roman" w:hAnsi="Calibri" w:cs="Times New Roman"/>
                  <w:sz w:val="20"/>
                  <w:szCs w:val="20"/>
                  <w:lang w:eastAsia="en-AU"/>
                </w:rPr>
                <w:t>NSW Fair Trading</w:t>
              </w:r>
            </w:hyperlink>
          </w:p>
        </w:tc>
      </w:tr>
      <w:tr w:rsidR="00924224" w:rsidRPr="00924224" w14:paraId="528E6629" w14:textId="77777777" w:rsidTr="00E55B10">
        <w:trPr>
          <w:trHeight w:val="284"/>
          <w:jc w:val="center"/>
        </w:trPr>
        <w:tc>
          <w:tcPr>
            <w:tcW w:w="2299" w:type="dxa"/>
            <w:shd w:val="clear" w:color="auto" w:fill="F3F3F3"/>
            <w:tcMar>
              <w:top w:w="142" w:type="dxa"/>
            </w:tcMar>
          </w:tcPr>
          <w:p w14:paraId="5210024D"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NT</w:t>
            </w:r>
          </w:p>
        </w:tc>
        <w:tc>
          <w:tcPr>
            <w:tcW w:w="4012" w:type="dxa"/>
            <w:shd w:val="clear" w:color="auto" w:fill="F3F3F3"/>
            <w:tcMar>
              <w:top w:w="142" w:type="dxa"/>
            </w:tcMar>
          </w:tcPr>
          <w:p w14:paraId="4B353065" w14:textId="52F8A837" w:rsidR="00924224" w:rsidRPr="00924224" w:rsidRDefault="00984D2B"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3" w:history="1">
              <w:r w:rsidR="00571D5E" w:rsidRPr="00571D5E">
                <w:rPr>
                  <w:rStyle w:val="Hyperlink"/>
                  <w:rFonts w:ascii="Calibri" w:eastAsia="Times New Roman" w:hAnsi="Calibri" w:cs="Times New Roman"/>
                  <w:sz w:val="20"/>
                  <w:szCs w:val="20"/>
                  <w:lang w:eastAsia="en-AU"/>
                </w:rPr>
                <w:t>Licensing NT</w:t>
              </w:r>
            </w:hyperlink>
          </w:p>
        </w:tc>
      </w:tr>
      <w:tr w:rsidR="00924224" w:rsidRPr="00924224" w14:paraId="7380F905" w14:textId="77777777" w:rsidTr="00E55B10">
        <w:trPr>
          <w:trHeight w:val="284"/>
          <w:jc w:val="center"/>
        </w:trPr>
        <w:tc>
          <w:tcPr>
            <w:tcW w:w="2299" w:type="dxa"/>
            <w:shd w:val="clear" w:color="auto" w:fill="FFFFFF"/>
            <w:tcMar>
              <w:top w:w="142" w:type="dxa"/>
            </w:tcMar>
          </w:tcPr>
          <w:p w14:paraId="3BF21A12"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QLD</w:t>
            </w:r>
          </w:p>
        </w:tc>
        <w:tc>
          <w:tcPr>
            <w:tcW w:w="4012" w:type="dxa"/>
            <w:shd w:val="clear" w:color="auto" w:fill="FFFFFF"/>
            <w:tcMar>
              <w:top w:w="142" w:type="dxa"/>
            </w:tcMar>
          </w:tcPr>
          <w:p w14:paraId="51DF02F3" w14:textId="0BB311B0" w:rsidR="00924224" w:rsidRPr="00924224" w:rsidRDefault="00984D2B"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4" w:history="1">
              <w:r w:rsidR="00C36CC9" w:rsidRPr="00C36CC9">
                <w:rPr>
                  <w:rStyle w:val="Hyperlink"/>
                  <w:rFonts w:ascii="Calibri" w:eastAsia="Times New Roman" w:hAnsi="Calibri" w:cs="Times New Roman"/>
                  <w:sz w:val="20"/>
                  <w:szCs w:val="20"/>
                  <w:lang w:eastAsia="en-AU"/>
                </w:rPr>
                <w:t>Office of Fair Trading</w:t>
              </w:r>
            </w:hyperlink>
          </w:p>
        </w:tc>
      </w:tr>
      <w:tr w:rsidR="00924224" w:rsidRPr="00924224" w14:paraId="58B41423" w14:textId="77777777" w:rsidTr="00E55B10">
        <w:trPr>
          <w:trHeight w:val="284"/>
          <w:jc w:val="center"/>
        </w:trPr>
        <w:tc>
          <w:tcPr>
            <w:tcW w:w="2299" w:type="dxa"/>
            <w:shd w:val="clear" w:color="auto" w:fill="F3F3F3"/>
            <w:tcMar>
              <w:top w:w="142" w:type="dxa"/>
            </w:tcMar>
          </w:tcPr>
          <w:p w14:paraId="35DE1F5E"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SA</w:t>
            </w:r>
          </w:p>
        </w:tc>
        <w:tc>
          <w:tcPr>
            <w:tcW w:w="4012" w:type="dxa"/>
            <w:shd w:val="clear" w:color="auto" w:fill="F3F3F3"/>
            <w:tcMar>
              <w:top w:w="142" w:type="dxa"/>
            </w:tcMar>
          </w:tcPr>
          <w:p w14:paraId="25661804" w14:textId="45D75DF4" w:rsidR="00924224" w:rsidRPr="00924224" w:rsidRDefault="00984D2B"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5" w:history="1">
              <w:r w:rsidR="00C36CC9" w:rsidRPr="00C36CC9">
                <w:rPr>
                  <w:rStyle w:val="Hyperlink"/>
                  <w:rFonts w:ascii="Calibri" w:eastAsia="Times New Roman" w:hAnsi="Calibri" w:cs="Times New Roman"/>
                  <w:sz w:val="20"/>
                  <w:szCs w:val="20"/>
                  <w:lang w:eastAsia="en-AU"/>
                </w:rPr>
                <w:t>Consumer and Business Services</w:t>
              </w:r>
            </w:hyperlink>
          </w:p>
        </w:tc>
      </w:tr>
      <w:tr w:rsidR="00924224" w:rsidRPr="00924224" w14:paraId="0B38DD6A" w14:textId="77777777" w:rsidTr="00E55B10">
        <w:trPr>
          <w:trHeight w:val="284"/>
          <w:jc w:val="center"/>
        </w:trPr>
        <w:tc>
          <w:tcPr>
            <w:tcW w:w="2299" w:type="dxa"/>
            <w:shd w:val="clear" w:color="auto" w:fill="FFFFFF"/>
            <w:tcMar>
              <w:top w:w="142" w:type="dxa"/>
            </w:tcMar>
          </w:tcPr>
          <w:p w14:paraId="0F7575E2"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TAS</w:t>
            </w:r>
          </w:p>
        </w:tc>
        <w:tc>
          <w:tcPr>
            <w:tcW w:w="4012" w:type="dxa"/>
            <w:shd w:val="clear" w:color="auto" w:fill="FFFFFF"/>
            <w:tcMar>
              <w:top w:w="142" w:type="dxa"/>
            </w:tcMar>
          </w:tcPr>
          <w:p w14:paraId="2838198C" w14:textId="033ACF37" w:rsidR="00924224" w:rsidRPr="00924224" w:rsidRDefault="00984D2B"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6" w:history="1">
              <w:r w:rsidR="00C36CC9" w:rsidRPr="00C36CC9">
                <w:rPr>
                  <w:rStyle w:val="Hyperlink"/>
                  <w:rFonts w:ascii="Calibri" w:eastAsia="Times New Roman" w:hAnsi="Calibri" w:cs="Times New Roman"/>
                  <w:sz w:val="20"/>
                  <w:szCs w:val="20"/>
                  <w:lang w:eastAsia="en-AU"/>
                </w:rPr>
                <w:t>Consumer, Building and Occupational Services</w:t>
              </w:r>
            </w:hyperlink>
          </w:p>
        </w:tc>
      </w:tr>
      <w:tr w:rsidR="00924224" w:rsidRPr="00924224" w14:paraId="6A8342D7" w14:textId="77777777" w:rsidTr="00E55B10">
        <w:trPr>
          <w:trHeight w:val="284"/>
          <w:jc w:val="center"/>
        </w:trPr>
        <w:tc>
          <w:tcPr>
            <w:tcW w:w="2299" w:type="dxa"/>
            <w:shd w:val="clear" w:color="auto" w:fill="F3F3F3"/>
            <w:tcMar>
              <w:top w:w="142" w:type="dxa"/>
            </w:tcMar>
          </w:tcPr>
          <w:p w14:paraId="1F92DEE9"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VIC</w:t>
            </w:r>
          </w:p>
        </w:tc>
        <w:tc>
          <w:tcPr>
            <w:tcW w:w="4012" w:type="dxa"/>
            <w:shd w:val="clear" w:color="auto" w:fill="F3F3F3"/>
            <w:tcMar>
              <w:top w:w="142" w:type="dxa"/>
            </w:tcMar>
          </w:tcPr>
          <w:p w14:paraId="607E5B59" w14:textId="2945DA4D" w:rsidR="00924224" w:rsidRPr="00924224" w:rsidRDefault="00984D2B"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7" w:history="1">
              <w:r w:rsidR="00C36CC9" w:rsidRPr="00C36CC9">
                <w:rPr>
                  <w:rStyle w:val="Hyperlink"/>
                  <w:rFonts w:ascii="Calibri" w:eastAsia="Times New Roman" w:hAnsi="Calibri" w:cs="Times New Roman"/>
                  <w:sz w:val="20"/>
                  <w:szCs w:val="20"/>
                  <w:lang w:eastAsia="en-AU"/>
                </w:rPr>
                <w:t>Consumer Affairs Victoria</w:t>
              </w:r>
            </w:hyperlink>
          </w:p>
        </w:tc>
      </w:tr>
      <w:tr w:rsidR="00924224" w:rsidRPr="00924224" w14:paraId="36F73165" w14:textId="77777777" w:rsidTr="00E55B10">
        <w:trPr>
          <w:trHeight w:val="284"/>
          <w:jc w:val="center"/>
        </w:trPr>
        <w:tc>
          <w:tcPr>
            <w:tcW w:w="2299" w:type="dxa"/>
            <w:shd w:val="clear" w:color="auto" w:fill="FFFFFF"/>
            <w:tcMar>
              <w:top w:w="142" w:type="dxa"/>
            </w:tcMar>
          </w:tcPr>
          <w:p w14:paraId="48A82652"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WA</w:t>
            </w:r>
          </w:p>
        </w:tc>
        <w:tc>
          <w:tcPr>
            <w:tcW w:w="4012" w:type="dxa"/>
            <w:shd w:val="clear" w:color="auto" w:fill="FFFFFF"/>
            <w:tcMar>
              <w:top w:w="142" w:type="dxa"/>
            </w:tcMar>
          </w:tcPr>
          <w:p w14:paraId="75D2E70F" w14:textId="7DD04727" w:rsidR="00924224" w:rsidRPr="00924224" w:rsidRDefault="00984D2B"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8" w:history="1">
              <w:r w:rsidR="00C36CC9" w:rsidRPr="00C36CC9">
                <w:rPr>
                  <w:rStyle w:val="Hyperlink"/>
                  <w:rFonts w:ascii="Calibri" w:eastAsia="Times New Roman" w:hAnsi="Calibri" w:cs="Times New Roman"/>
                  <w:sz w:val="20"/>
                  <w:szCs w:val="20"/>
                  <w:lang w:eastAsia="en-AU"/>
                </w:rPr>
                <w:t>Commerce WA</w:t>
              </w:r>
            </w:hyperlink>
          </w:p>
        </w:tc>
      </w:tr>
    </w:tbl>
    <w:p w14:paraId="442ECEC7" w14:textId="77777777" w:rsidR="00924224" w:rsidRPr="00924224" w:rsidRDefault="00924224" w:rsidP="00924224">
      <w:pPr>
        <w:suppressAutoHyphens w:val="0"/>
        <w:adjustRightInd/>
        <w:snapToGrid/>
        <w:spacing w:before="100" w:beforeAutospacing="1" w:after="100" w:afterAutospacing="1" w:line="360" w:lineRule="auto"/>
        <w:rPr>
          <w:rFonts w:ascii="Calibri" w:eastAsia="Times New Roman" w:hAnsi="Calibri" w:cs="Times New Roman"/>
          <w:color w:val="000000"/>
          <w:sz w:val="20"/>
          <w:szCs w:val="16"/>
          <w:lang w:eastAsia="en-AU"/>
        </w:rPr>
      </w:pPr>
    </w:p>
    <w:p w14:paraId="52BF6F06" w14:textId="77777777" w:rsidR="00924224" w:rsidRPr="00924224" w:rsidRDefault="00924224" w:rsidP="00924224">
      <w:pPr>
        <w:suppressAutoHyphens w:val="0"/>
        <w:adjustRightInd/>
        <w:snapToGrid/>
        <w:spacing w:before="0" w:after="200" w:line="276" w:lineRule="auto"/>
        <w:rPr>
          <w:rFonts w:ascii="Calibri" w:eastAsia="Calibri" w:hAnsi="Calibri" w:cs="Times New Roman"/>
          <w:color w:val="auto"/>
          <w:sz w:val="22"/>
          <w:szCs w:val="22"/>
        </w:rPr>
      </w:pPr>
      <w:bookmarkStart w:id="0" w:name="_GoBack"/>
      <w:bookmarkEnd w:id="0"/>
    </w:p>
    <w:p w14:paraId="488A3D30" w14:textId="77777777" w:rsidR="00B64B9C" w:rsidRDefault="00B64B9C" w:rsidP="00B64B9C"/>
    <w:p w14:paraId="4F4F7C2D" w14:textId="77777777" w:rsidR="00B64B9C" w:rsidRPr="002B78AE" w:rsidRDefault="00B64B9C" w:rsidP="00B64B9C"/>
    <w:p w14:paraId="42ED25F1" w14:textId="77777777" w:rsidR="0081214B" w:rsidRPr="00B64B9C" w:rsidRDefault="0081214B" w:rsidP="00B64B9C"/>
    <w:sectPr w:rsidR="0081214B" w:rsidRPr="00B64B9C" w:rsidSect="000C1590">
      <w:headerReference w:type="default" r:id="rId19"/>
      <w:footerReference w:type="default" r:id="rId20"/>
      <w:headerReference w:type="first" r:id="rId21"/>
      <w:footerReference w:type="first" r:id="rId22"/>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D1B54" w14:textId="77777777" w:rsidR="007C4252" w:rsidRDefault="007C4252" w:rsidP="008E21DE">
      <w:pPr>
        <w:spacing w:before="0" w:after="0"/>
      </w:pPr>
      <w:r>
        <w:separator/>
      </w:r>
    </w:p>
    <w:p w14:paraId="50DE2FB2" w14:textId="77777777" w:rsidR="007C4252" w:rsidRDefault="007C4252"/>
  </w:endnote>
  <w:endnote w:type="continuationSeparator" w:id="0">
    <w:p w14:paraId="70F57F78" w14:textId="77777777" w:rsidR="007C4252" w:rsidRDefault="007C4252" w:rsidP="008E21DE">
      <w:pPr>
        <w:spacing w:before="0" w:after="0"/>
      </w:pPr>
      <w:r>
        <w:continuationSeparator/>
      </w:r>
    </w:p>
    <w:p w14:paraId="15281283" w14:textId="77777777" w:rsidR="007C4252" w:rsidRDefault="007C4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7F27" w14:textId="0B9EA942" w:rsidR="006E4AB3" w:rsidRPr="00984D2B" w:rsidRDefault="006E4AB3" w:rsidP="00984D2B">
    <w:pPr>
      <w:pStyle w:val="Footer"/>
      <w:jc w:val="right"/>
      <w:rPr>
        <w:rFonts w:ascii="Calibri" w:hAnsi="Calibri" w:cs="Calibri"/>
        <w:i/>
        <w:sz w:val="20"/>
        <w:szCs w:val="20"/>
      </w:rPr>
    </w:pPr>
    <w:r w:rsidRPr="00984D2B">
      <w:rPr>
        <w:rFonts w:ascii="Calibri" w:hAnsi="Calibri" w:cs="Calibri"/>
        <w:i/>
        <w:noProof/>
        <w:sz w:val="20"/>
        <w:szCs w:val="20"/>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4D2B" w:rsidRPr="00984D2B">
      <w:rPr>
        <w:rFonts w:ascii="Calibri" w:hAnsi="Calibri" w:cs="Calibri"/>
        <w:i/>
        <w:sz w:val="20"/>
        <w:szCs w:val="20"/>
      </w:rPr>
      <w:t>Developed by Sport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4290" w14:textId="09957F9F" w:rsidR="006E4AB3" w:rsidRDefault="00960009">
    <w:pPr>
      <w:pStyle w:val="Footer"/>
    </w:pPr>
    <w:r w:rsidRPr="008B061A">
      <w:rPr>
        <w:i/>
        <w:color w:val="595959" w:themeColor="text1" w:themeTint="A6"/>
        <w:sz w:val="12"/>
        <w:szCs w:val="12"/>
        <w:shd w:val="clear" w:color="auto" w:fill="FFFFFF"/>
      </w:rPr>
      <w:t xml:space="preserve">Sport </w:t>
    </w:r>
    <w:r w:rsidR="00FA7FDE" w:rsidRPr="008B061A">
      <w:rPr>
        <w:i/>
        <w:color w:val="595959" w:themeColor="text1" w:themeTint="A6"/>
        <w:sz w:val="12"/>
        <w:szCs w:val="12"/>
        <w:shd w:val="clear" w:color="auto" w:fill="FFFFFF"/>
      </w:rPr>
      <w:t xml:space="preserve">Australia is </w:t>
    </w:r>
    <w:r w:rsidR="00FA7FDE">
      <w:rPr>
        <w:i/>
        <w:color w:val="595959" w:themeColor="text1" w:themeTint="A6"/>
        <w:sz w:val="12"/>
        <w:szCs w:val="12"/>
        <w:shd w:val="clear" w:color="auto" w:fill="FFFFFF"/>
      </w:rPr>
      <w:t>an</w:t>
    </w:r>
    <w:r w:rsidR="00FA7FDE"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8DD5D" w14:textId="77777777" w:rsidR="007C4252" w:rsidRDefault="007C4252" w:rsidP="008E21DE">
      <w:pPr>
        <w:spacing w:before="0" w:after="0"/>
      </w:pPr>
      <w:r>
        <w:separator/>
      </w:r>
    </w:p>
    <w:p w14:paraId="34E0F27B" w14:textId="77777777" w:rsidR="007C4252" w:rsidRDefault="007C4252"/>
  </w:footnote>
  <w:footnote w:type="continuationSeparator" w:id="0">
    <w:p w14:paraId="3EACE4E8" w14:textId="77777777" w:rsidR="007C4252" w:rsidRDefault="007C4252" w:rsidP="008E21DE">
      <w:pPr>
        <w:spacing w:before="0" w:after="0"/>
      </w:pPr>
      <w:r>
        <w:continuationSeparator/>
      </w:r>
    </w:p>
    <w:p w14:paraId="09D66DE4" w14:textId="77777777" w:rsidR="007C4252" w:rsidRDefault="007C42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4BD4A4E4"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984D2B">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984D2B">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4BD4A4E4"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984D2B">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984D2B">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6FAD" w14:textId="41F300B2" w:rsidR="00F5586B" w:rsidRDefault="00F5586B" w:rsidP="00B34169">
    <w:pPr>
      <w:pStyle w:val="Header"/>
      <w:spacing w:after="480"/>
    </w:pPr>
    <w:r>
      <w:rPr>
        <w:noProof/>
        <w:lang w:eastAsia="en-AU"/>
      </w:rPr>
      <w:drawing>
        <wp:anchor distT="0" distB="0" distL="114300" distR="114300" simplePos="0" relativeHeight="251666432" behindDoc="1" locked="0" layoutInCell="1" allowOverlap="1" wp14:anchorId="43459562" wp14:editId="226E82AF">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p w14:paraId="275A9AF4" w14:textId="5E11BD43" w:rsidR="000C1590" w:rsidRPr="00F5586B" w:rsidRDefault="000C1590" w:rsidP="00F55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4C6301"/>
    <w:multiLevelType w:val="multilevel"/>
    <w:tmpl w:val="C2860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9587F78"/>
    <w:multiLevelType w:val="multilevel"/>
    <w:tmpl w:val="07629034"/>
    <w:numStyleLink w:val="KCBullets"/>
  </w:abstractNum>
  <w:abstractNum w:abstractNumId="13" w15:restartNumberingAfterBreak="0">
    <w:nsid w:val="50517343"/>
    <w:multiLevelType w:val="multilevel"/>
    <w:tmpl w:val="131EEC6C"/>
    <w:numStyleLink w:val="TableNumbers"/>
  </w:abstractNum>
  <w:abstractNum w:abstractNumId="14" w15:restartNumberingAfterBreak="0">
    <w:nsid w:val="50E12008"/>
    <w:multiLevelType w:val="multilevel"/>
    <w:tmpl w:val="07629034"/>
    <w:numStyleLink w:val="KCBullets"/>
  </w:abstractNum>
  <w:abstractNum w:abstractNumId="15"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563048B"/>
    <w:multiLevelType w:val="multilevel"/>
    <w:tmpl w:val="C284D0B0"/>
    <w:numStyleLink w:val="FigureNumbers"/>
  </w:abstractNum>
  <w:abstractNum w:abstractNumId="17"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615703"/>
    <w:multiLevelType w:val="multilevel"/>
    <w:tmpl w:val="803CF862"/>
    <w:numStyleLink w:val="List1Numbered"/>
  </w:abstractNum>
  <w:abstractNum w:abstractNumId="19" w15:restartNumberingAfterBreak="0">
    <w:nsid w:val="5BF51665"/>
    <w:multiLevelType w:val="multilevel"/>
    <w:tmpl w:val="4E929216"/>
    <w:numStyleLink w:val="NumberedHeadings"/>
  </w:abstractNum>
  <w:abstractNum w:abstractNumId="20" w15:restartNumberingAfterBreak="0">
    <w:nsid w:val="62397869"/>
    <w:multiLevelType w:val="multilevel"/>
    <w:tmpl w:val="4E929216"/>
    <w:numStyleLink w:val="NumberedHeadings"/>
  </w:abstractNum>
  <w:abstractNum w:abstractNumId="21" w15:restartNumberingAfterBreak="0">
    <w:nsid w:val="6D4F423B"/>
    <w:multiLevelType w:val="multilevel"/>
    <w:tmpl w:val="4A7CCC2C"/>
    <w:numStyleLink w:val="DefaultBullets"/>
  </w:abstractNum>
  <w:abstractNum w:abstractNumId="22"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7E137DD"/>
    <w:multiLevelType w:val="hybridMultilevel"/>
    <w:tmpl w:val="9772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abstractNumId w:val="3"/>
  </w:num>
  <w:num w:numId="2">
    <w:abstractNumId w:val="25"/>
  </w:num>
  <w:num w:numId="3">
    <w:abstractNumId w:val="15"/>
  </w:num>
  <w:num w:numId="4">
    <w:abstractNumId w:val="24"/>
  </w:num>
  <w:num w:numId="5">
    <w:abstractNumId w:val="24"/>
  </w:num>
  <w:num w:numId="6">
    <w:abstractNumId w:val="11"/>
  </w:num>
  <w:num w:numId="7">
    <w:abstractNumId w:val="14"/>
  </w:num>
  <w:num w:numId="8">
    <w:abstractNumId w:val="14"/>
  </w:num>
  <w:num w:numId="9">
    <w:abstractNumId w:val="14"/>
  </w:num>
  <w:num w:numId="10">
    <w:abstractNumId w:val="5"/>
  </w:num>
  <w:num w:numId="11">
    <w:abstractNumId w:val="16"/>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4"/>
  </w:num>
  <w:num w:numId="20">
    <w:abstractNumId w:val="18"/>
  </w:num>
  <w:num w:numId="21">
    <w:abstractNumId w:val="18"/>
  </w:num>
  <w:num w:numId="22">
    <w:abstractNumId w:val="18"/>
  </w:num>
  <w:num w:numId="23">
    <w:abstractNumId w:val="17"/>
  </w:num>
  <w:num w:numId="24">
    <w:abstractNumId w:val="9"/>
  </w:num>
  <w:num w:numId="25">
    <w:abstractNumId w:val="6"/>
  </w:num>
  <w:num w:numId="26">
    <w:abstractNumId w:val="13"/>
  </w:num>
  <w:num w:numId="27">
    <w:abstractNumId w:val="0"/>
  </w:num>
  <w:num w:numId="28">
    <w:abstractNumId w:val="22"/>
  </w:num>
  <w:num w:numId="29">
    <w:abstractNumId w:val="2"/>
  </w:num>
  <w:num w:numId="30">
    <w:abstractNumId w:val="1"/>
  </w:num>
  <w:num w:numId="31">
    <w:abstractNumId w:val="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1"/>
  </w:num>
  <w:num w:numId="35">
    <w:abstractNumId w:val="8"/>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55"/>
    <w:rsid w:val="000253FD"/>
    <w:rsid w:val="00080615"/>
    <w:rsid w:val="000C1590"/>
    <w:rsid w:val="000C252F"/>
    <w:rsid w:val="000D6562"/>
    <w:rsid w:val="000D6CBB"/>
    <w:rsid w:val="000F0AF4"/>
    <w:rsid w:val="001B37F1"/>
    <w:rsid w:val="001E6966"/>
    <w:rsid w:val="001F23EC"/>
    <w:rsid w:val="00255A42"/>
    <w:rsid w:val="002804D3"/>
    <w:rsid w:val="002B78AE"/>
    <w:rsid w:val="002F455A"/>
    <w:rsid w:val="003449A0"/>
    <w:rsid w:val="00344CD9"/>
    <w:rsid w:val="00356D05"/>
    <w:rsid w:val="00391409"/>
    <w:rsid w:val="00393599"/>
    <w:rsid w:val="00413E00"/>
    <w:rsid w:val="004154E2"/>
    <w:rsid w:val="004538FE"/>
    <w:rsid w:val="004A77C1"/>
    <w:rsid w:val="004D542D"/>
    <w:rsid w:val="005155AD"/>
    <w:rsid w:val="00534D53"/>
    <w:rsid w:val="00544B90"/>
    <w:rsid w:val="005611E7"/>
    <w:rsid w:val="00571D5E"/>
    <w:rsid w:val="00576119"/>
    <w:rsid w:val="00593CFA"/>
    <w:rsid w:val="005A368C"/>
    <w:rsid w:val="00680F04"/>
    <w:rsid w:val="006E4AB3"/>
    <w:rsid w:val="007C4252"/>
    <w:rsid w:val="007F41CF"/>
    <w:rsid w:val="0081214B"/>
    <w:rsid w:val="00884576"/>
    <w:rsid w:val="008D7A18"/>
    <w:rsid w:val="008E21DE"/>
    <w:rsid w:val="008F3851"/>
    <w:rsid w:val="00924224"/>
    <w:rsid w:val="00960009"/>
    <w:rsid w:val="00962F71"/>
    <w:rsid w:val="00971C95"/>
    <w:rsid w:val="00984D2B"/>
    <w:rsid w:val="009E7C55"/>
    <w:rsid w:val="009F200E"/>
    <w:rsid w:val="00A07E4A"/>
    <w:rsid w:val="00A51A9F"/>
    <w:rsid w:val="00A56018"/>
    <w:rsid w:val="00A8131A"/>
    <w:rsid w:val="00A836CA"/>
    <w:rsid w:val="00A8475F"/>
    <w:rsid w:val="00AB12D5"/>
    <w:rsid w:val="00AD735D"/>
    <w:rsid w:val="00AF0899"/>
    <w:rsid w:val="00B2121F"/>
    <w:rsid w:val="00B34169"/>
    <w:rsid w:val="00B442F9"/>
    <w:rsid w:val="00B603C0"/>
    <w:rsid w:val="00B64027"/>
    <w:rsid w:val="00B64B9C"/>
    <w:rsid w:val="00B7394A"/>
    <w:rsid w:val="00BA0155"/>
    <w:rsid w:val="00C0421C"/>
    <w:rsid w:val="00C36CC9"/>
    <w:rsid w:val="00C75CAF"/>
    <w:rsid w:val="00C81CFA"/>
    <w:rsid w:val="00C837F2"/>
    <w:rsid w:val="00D46C9E"/>
    <w:rsid w:val="00DF74BA"/>
    <w:rsid w:val="00E06B80"/>
    <w:rsid w:val="00F5586B"/>
    <w:rsid w:val="00F741FD"/>
    <w:rsid w:val="00F86B38"/>
    <w:rsid w:val="00F9318C"/>
    <w:rsid w:val="00F93763"/>
    <w:rsid w:val="00FA7FDE"/>
    <w:rsid w:val="00FC1BC5"/>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86B"/>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544B90"/>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544B90"/>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544B90"/>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544B90"/>
    <w:pPr>
      <w:keepNext/>
      <w:keepLines/>
      <w:spacing w:before="240" w:after="120" w:line="220" w:lineRule="atLeast"/>
      <w:outlineLvl w:val="3"/>
    </w:pPr>
    <w:rPr>
      <w:rFonts w:asciiTheme="majorHAnsi" w:eastAsiaTheme="majorEastAsia" w:hAnsiTheme="majorHAnsi" w:cstheme="majorBidi"/>
      <w:b/>
      <w:iCs/>
      <w:color w:val="007CB3" w:themeColor="accent3"/>
      <w:sz w:val="18"/>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544B90"/>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33"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A3A3FF" w:themeFill="accent1" w:themeFillTint="33"/>
      </w:tcPr>
    </w:tblStylePr>
    <w:tblStylePr w:type="band2Vert">
      <w:tblPr/>
      <w:tcPr>
        <w:shd w:val="clear" w:color="auto" w:fill="4747FF" w:themeFill="accent1" w:themeFillTint="66"/>
      </w:tcPr>
    </w:tblStylePr>
    <w:tblStylePr w:type="band1Horz">
      <w:tblPr/>
      <w:tcPr>
        <w:shd w:val="clear" w:color="auto" w:fill="A3A3FF" w:themeFill="accent1" w:themeFillTint="33"/>
      </w:tcPr>
    </w:tblStylePr>
    <w:tblStylePr w:type="band2Horz">
      <w:tblPr/>
      <w:tcPr>
        <w:shd w:val="clear" w:color="auto" w:fill="4747FF"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544B90"/>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544B90"/>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544B90"/>
    <w:rPr>
      <w:rFonts w:asciiTheme="majorHAnsi" w:eastAsiaTheme="majorEastAsia" w:hAnsiTheme="majorHAnsi" w:cstheme="majorBidi"/>
      <w:b/>
      <w:iCs/>
      <w:color w:val="007CB3" w:themeColor="accent3"/>
      <w:sz w:val="18"/>
    </w:rPr>
  </w:style>
  <w:style w:type="table" w:customStyle="1" w:styleId="Sport2030FormTable">
    <w:name w:val="Sport2030 Form Table"/>
    <w:basedOn w:val="TableNormal"/>
    <w:uiPriority w:val="99"/>
    <w:rsid w:val="002B78AE"/>
    <w:pPr>
      <w:suppressAutoHyphens/>
      <w:adjustRightInd w:val="0"/>
      <w:snapToGrid w:val="0"/>
      <w:spacing w:before="60"/>
    </w:pPr>
    <w:tblPr>
      <w:tblStyleRowBandSize w:val="1"/>
      <w:tblStyleColBandSize w:val="1"/>
      <w:tblBorders>
        <w:top w:val="single" w:sz="4" w:space="0" w:color="007CB3" w:themeColor="accent3"/>
        <w:bottom w:val="single" w:sz="4" w:space="0" w:color="007CB3" w:themeColor="accent3"/>
        <w:insideH w:val="single" w:sz="4" w:space="0" w:color="007CB3" w:themeColor="accent3"/>
      </w:tblBorders>
      <w:tblCellMar>
        <w:top w:w="28" w:type="dxa"/>
        <w:left w:w="0" w:type="dxa"/>
        <w:bottom w:w="199" w:type="dxa"/>
      </w:tblCellMar>
    </w:tblPr>
    <w:tblStylePr w:type="firstRow">
      <w:pPr>
        <w:wordWrap/>
        <w:spacing w:line="170" w:lineRule="atLeast"/>
      </w:pPr>
      <w:rPr>
        <w:sz w:val="13"/>
      </w:rPr>
      <w:tblPr/>
      <w:tcPr>
        <w:tcBorders>
          <w:bottom w:val="single" w:sz="4" w:space="0" w:color="000033" w:themeColor="accent1"/>
        </w:tcBorders>
        <w:shd w:val="clear" w:color="auto" w:fill="FFFFFF" w:themeFill="background1"/>
      </w:tcPr>
    </w:tblStylePr>
    <w:tblStylePr w:type="firstCol">
      <w:pPr>
        <w:wordWrap/>
        <w:spacing w:line="170" w:lineRule="atLeast"/>
      </w:pPr>
      <w:rPr>
        <w:sz w:val="13"/>
      </w:rPr>
      <w:tblPr/>
      <w:tcPr>
        <w:shd w:val="clear" w:color="auto" w:fill="FFFFFF" w:themeFill="background1"/>
      </w:tcPr>
    </w:tblStylePr>
    <w:tblStylePr w:type="band1Vert">
      <w:tblPr/>
      <w:tcPr>
        <w:shd w:val="clear" w:color="auto" w:fill="E3F4FA" w:themeFill="accent4" w:themeFillTint="33"/>
      </w:tcPr>
    </w:tblStylePr>
    <w:tblStylePr w:type="band2Vert">
      <w:tblPr/>
      <w:tcPr>
        <w:shd w:val="clear" w:color="auto" w:fill="C8E9F6" w:themeFill="accent4" w:themeFillTint="66"/>
      </w:tcPr>
    </w:tblStylePr>
    <w:tblStylePr w:type="band1Horz">
      <w:tblPr/>
      <w:tcPr>
        <w:shd w:val="clear" w:color="auto" w:fill="E3F4FA" w:themeFill="accent4" w:themeFillTint="33"/>
      </w:tcPr>
    </w:tblStylePr>
    <w:tblStylePr w:type="band2Horz">
      <w:tblPr/>
      <w:tcPr>
        <w:shd w:val="clear" w:color="auto" w:fill="C8E9F6" w:themeFill="accent4" w:themeFillTint="66"/>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UnresolvedMention">
    <w:name w:val="Unresolved Mention"/>
    <w:basedOn w:val="DefaultParagraphFont"/>
    <w:uiPriority w:val="99"/>
    <w:semiHidden/>
    <w:unhideWhenUsed/>
    <w:rsid w:val="00A8131A"/>
    <w:rPr>
      <w:color w:val="605E5C"/>
      <w:shd w:val="clear" w:color="auto" w:fill="E1DFDD"/>
    </w:rPr>
  </w:style>
  <w:style w:type="paragraph" w:styleId="BalloonText">
    <w:name w:val="Balloon Text"/>
    <w:basedOn w:val="Normal"/>
    <w:link w:val="BalloonTextChar"/>
    <w:uiPriority w:val="99"/>
    <w:semiHidden/>
    <w:unhideWhenUsed/>
    <w:rsid w:val="00C36CC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2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t.gov.au/law/rights/incorporated-associations" TargetMode="External"/><Relationship Id="rId18" Type="http://schemas.openxmlformats.org/officeDocument/2006/relationships/hyperlink" Target="https://www.commerce.wa.gov.au/consumer-protection/associations-and-club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airtrading.nsw.gov.au/associations-and-co-operatives/associations" TargetMode="External"/><Relationship Id="rId17" Type="http://schemas.openxmlformats.org/officeDocument/2006/relationships/hyperlink" Target="https://www.consumer.vic.gov.au/clubs-and-fundraising" TargetMode="External"/><Relationship Id="rId2" Type="http://schemas.openxmlformats.org/officeDocument/2006/relationships/customXml" Target="../customXml/item2.xml"/><Relationship Id="rId16" Type="http://schemas.openxmlformats.org/officeDocument/2006/relationships/hyperlink" Target="https://www.cbos.tas.gov.au/topics/clubs-fundrais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esscanberra.act.gov.au/app/answers/detail/a_id/1504/~/incorporated-associa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s.sa.gov.au/associations-cooperativ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ld.gov.au/law/laws-regulated-industries-and-accountability/queensland-laws-and-regulations/associations-charities-and-non-for-profits/incorporated-association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08663229B81C4C98FF820A75091E3E" ma:contentTypeVersion="13" ma:contentTypeDescription="Create a new document." ma:contentTypeScope="" ma:versionID="0f4bd9b65e2b09d6ecbb8583d5f3deb7">
  <xsd:schema xmlns:xsd="http://www.w3.org/2001/XMLSchema" xmlns:xs="http://www.w3.org/2001/XMLSchema" xmlns:p="http://schemas.microsoft.com/office/2006/metadata/properties" xmlns:ns3="d37e3f3f-c404-4969-a6f6-9e157902ea8f" xmlns:ns4="d99ba93a-b35c-453d-95d6-e4abf9052878" targetNamespace="http://schemas.microsoft.com/office/2006/metadata/properties" ma:root="true" ma:fieldsID="cb83e0b87d4da1cbe1328da7dfbb798b" ns3:_="" ns4:_="">
    <xsd:import namespace="d37e3f3f-c404-4969-a6f6-9e157902ea8f"/>
    <xsd:import namespace="d99ba93a-b35c-453d-95d6-e4abf90528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f3f-c404-4969-a6f6-9e157902e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9ba93a-b35c-453d-95d6-e4abf90528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0AC33-5BE6-4C99-A5BC-9184E0146B9B}">
  <ds:schemaRefs>
    <ds:schemaRef ds:uri="http://schemas.microsoft.com/sharepoint/v3/contenttype/forms"/>
  </ds:schemaRefs>
</ds:datastoreItem>
</file>

<file path=customXml/itemProps2.xml><?xml version="1.0" encoding="utf-8"?>
<ds:datastoreItem xmlns:ds="http://schemas.openxmlformats.org/officeDocument/2006/customXml" ds:itemID="{3CE70B51-EF57-4031-9705-820AC5C5DD9F}">
  <ds:schemaRefs>
    <ds:schemaRef ds:uri="http://schemas.openxmlformats.org/package/2006/metadata/core-properties"/>
    <ds:schemaRef ds:uri="d99ba93a-b35c-453d-95d6-e4abf9052878"/>
    <ds:schemaRef ds:uri="http://purl.org/dc/terms/"/>
    <ds:schemaRef ds:uri="http://schemas.microsoft.com/office/2006/documentManagement/types"/>
    <ds:schemaRef ds:uri="d37e3f3f-c404-4969-a6f6-9e157902ea8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8D47235-D44C-40DC-8B26-BE0CDF807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f3f-c404-4969-a6f6-9e157902ea8f"/>
    <ds:schemaRef ds:uri="d99ba93a-b35c-453d-95d6-e4abf9052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1D6AF-32EC-4C07-8062-779573B9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0</TotalTime>
  <Pages>2</Pages>
  <Words>874</Words>
  <Characters>4983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Kathryn Schulz</cp:lastModifiedBy>
  <cp:revision>2</cp:revision>
  <dcterms:created xsi:type="dcterms:W3CDTF">2020-11-26T02:37:00Z</dcterms:created>
  <dcterms:modified xsi:type="dcterms:W3CDTF">2020-11-26T02:37:00Z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0x0101006908663229B81C4C98FF820A75091E3E</vt:lpwstr>
  </property>
</Properties>
</file>